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7A88" w14:textId="5B03C4C8" w:rsidR="005A247C" w:rsidRPr="007476F0" w:rsidRDefault="00FE273F" w:rsidP="007476F0">
      <w:pPr>
        <w:pStyle w:val="Titolo1"/>
        <w:rPr>
          <w:rFonts w:ascii="Futura Hv BT" w:hAnsi="Futura Hv BT" w:cs="Futura"/>
          <w:color w:val="ED7D31" w:themeColor="accent2"/>
          <w:sz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058B5" wp14:editId="30461347">
                <wp:simplePos x="0" y="0"/>
                <wp:positionH relativeFrom="margin">
                  <wp:posOffset>-440690</wp:posOffset>
                </wp:positionH>
                <wp:positionV relativeFrom="paragraph">
                  <wp:posOffset>5052272</wp:posOffset>
                </wp:positionV>
                <wp:extent cx="500380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B159E" w14:textId="1A15D6B0" w:rsidR="00B91504" w:rsidRPr="00BF338C" w:rsidRDefault="000061B9" w:rsidP="002930A9">
                            <w:pPr>
                              <w:jc w:val="both"/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Finpiemonte </w:t>
                            </w:r>
                            <w:r w:rsidR="00EF52EC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–</w:t>
                            </w:r>
                            <w:r w:rsidR="002C6E8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13331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S</w:t>
                            </w:r>
                            <w:r w:rsidRPr="000061B9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ostegno a progetti finalizzati alla valorizzazione dei risultati di attività di RSI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058B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4.7pt;margin-top:397.8pt;width:39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AE+g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" filled="f" stroked="f">
                <v:textbox style="mso-fit-shape-to-text:t">
                  <w:txbxContent>
                    <w:p w14:paraId="6A7B159E" w14:textId="1A15D6B0" w:rsidR="00B91504" w:rsidRPr="00BF338C" w:rsidRDefault="000061B9" w:rsidP="002930A9">
                      <w:pPr>
                        <w:jc w:val="both"/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Finpiemonte </w:t>
                      </w:r>
                      <w:r w:rsidR="00EF52EC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–</w:t>
                      </w:r>
                      <w:r w:rsidR="002C6E8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F13331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S</w:t>
                      </w:r>
                      <w:r w:rsidRPr="000061B9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ostegno a progetti finalizzati alla valorizzazione dei risultati di attività di RSI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1A9"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65178144" wp14:editId="58839E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30490" cy="1082992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49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A9">
        <w:rPr>
          <w:rFonts w:ascii="Futura Hv BT" w:hAnsi="Futura Hv BT" w:cs="Futura"/>
          <w:color w:val="ED7D31" w:themeColor="accent2"/>
          <w:sz w:val="44"/>
        </w:rPr>
        <w:br w:type="page"/>
      </w:r>
    </w:p>
    <w:p w14:paraId="7C7671CD" w14:textId="77777777" w:rsidR="00AE5403" w:rsidRDefault="00AE5403" w:rsidP="003F38DC">
      <w:pPr>
        <w:rPr>
          <w:rFonts w:asciiTheme="minorHAnsi" w:hAnsiTheme="minorHAnsi" w:cstheme="minorHAnsi"/>
          <w:sz w:val="40"/>
          <w:szCs w:val="40"/>
        </w:rPr>
        <w:sectPr w:rsidR="00AE5403" w:rsidSect="001109C7">
          <w:footerReference w:type="default" r:id="rId9"/>
          <w:pgSz w:w="11906" w:h="16838"/>
          <w:pgMar w:top="1417" w:right="1134" w:bottom="1134" w:left="1134" w:header="1417" w:footer="170" w:gutter="0"/>
          <w:cols w:space="708"/>
          <w:docGrid w:linePitch="360"/>
        </w:sectPr>
      </w:pPr>
    </w:p>
    <w:tbl>
      <w:tblPr>
        <w:tblStyle w:val="Tabellagriglia2-colore41"/>
        <w:tblW w:w="9921" w:type="dxa"/>
        <w:jc w:val="center"/>
        <w:tblBorders>
          <w:top w:val="single" w:sz="2" w:space="0" w:color="9CC2E5" w:themeColor="accent5" w:themeTint="99"/>
          <w:bottom w:val="single" w:sz="2" w:space="0" w:color="9CC2E5" w:themeColor="accent5" w:themeTint="99"/>
          <w:insideH w:val="single" w:sz="2" w:space="0" w:color="9CC2E5" w:themeColor="accent5" w:themeTint="99"/>
          <w:insideV w:val="single" w:sz="2" w:space="0" w:color="9CC2E5" w:themeColor="accent5" w:themeTint="99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545"/>
        <w:gridCol w:w="9852"/>
      </w:tblGrid>
      <w:tr w:rsidR="00E84C6A" w:rsidRPr="00D8054D" w14:paraId="316E79F8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20B4862A" w14:textId="367B0003" w:rsidR="00E84C6A" w:rsidRPr="000F0298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  <w:highlight w:val="green"/>
              </w:rPr>
            </w:pPr>
            <w:bookmarkStart w:id="0" w:name="_Hlk140051494"/>
            <w:r w:rsidRPr="00DE53ED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Obiettiv</w:t>
            </w:r>
            <w:r w:rsidR="00CB202A" w:rsidRPr="00DE53ED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o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88BACBC" w14:textId="0B6BCCDA" w:rsidR="00E84C6A" w:rsidRPr="00D05D8A" w:rsidRDefault="000061B9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</w:t>
            </w:r>
            <w:r w:rsidRPr="000061B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ontribuire alla valorizzazione economica e alla diffusione, nell’economia e nella società, dei risultati di attività di RSI condotte in tempi recenti e che consentano ai beneficiari l’introduzione di innovazione di prodotto o processo.</w:t>
            </w:r>
          </w:p>
        </w:tc>
      </w:tr>
      <w:tr w:rsidR="00E84C6A" w:rsidRPr="00D8054D" w14:paraId="225BF82F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649F87B" w14:textId="77777777" w:rsidR="00E84C6A" w:rsidRPr="000F0298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  <w:highlight w:val="green"/>
              </w:rPr>
            </w:pPr>
            <w:r w:rsidRPr="00DE53ED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Soggetto gestore</w:t>
            </w:r>
          </w:p>
        </w:tc>
        <w:tc>
          <w:tcPr>
            <w:tcW w:w="7937" w:type="dxa"/>
            <w:vAlign w:val="center"/>
          </w:tcPr>
          <w:p w14:paraId="0ECE7B46" w14:textId="485D10EE" w:rsidR="00E84C6A" w:rsidRPr="0020776D" w:rsidRDefault="000061B9" w:rsidP="00DB37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Finpiemonte</w:t>
            </w:r>
          </w:p>
        </w:tc>
      </w:tr>
      <w:tr w:rsidR="00E84C6A" w:rsidRPr="00D8054D" w14:paraId="61B35CD3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3D4CEF0D" w14:textId="77777777" w:rsidR="00E84C6A" w:rsidRPr="000F0298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  <w:highlight w:val="yellow"/>
              </w:rPr>
            </w:pPr>
            <w:r w:rsidRPr="00DE53ED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Scadenze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B7BA69B" w14:textId="48E1A37C" w:rsidR="00E84C6A" w:rsidRPr="000061B9" w:rsidRDefault="000F0298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Lo sportello apr</w:t>
            </w:r>
            <w:r w:rsidR="009E5AA9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e</w:t>
            </w: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il 12/11/2024 e rimarrà aperto fino al </w:t>
            </w:r>
            <w:r w:rsidR="000061B9" w:rsidRPr="000061B9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13/05/2025</w:t>
            </w: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, </w:t>
            </w:r>
            <w:r w:rsidRPr="00DE53E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previo esaurimento delle risorse</w:t>
            </w:r>
            <w:r w:rsidR="00DE53ED" w:rsidRPr="00DE53E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4C6A" w:rsidRPr="00D8054D" w14:paraId="2168FE86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8FD06A9" w14:textId="77777777" w:rsidR="00E84C6A" w:rsidRPr="00DE53ED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DE53ED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Dotazione finanziaria</w:t>
            </w:r>
          </w:p>
        </w:tc>
        <w:tc>
          <w:tcPr>
            <w:tcW w:w="7937" w:type="dxa"/>
            <w:vAlign w:val="center"/>
          </w:tcPr>
          <w:p w14:paraId="268397F3" w14:textId="5A25C7D9" w:rsidR="00E84C6A" w:rsidRPr="00587C62" w:rsidRDefault="000061B9" w:rsidP="00D842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10 milioni di euro</w:t>
            </w:r>
          </w:p>
        </w:tc>
      </w:tr>
      <w:tr w:rsidR="00E84C6A" w:rsidRPr="00D8054D" w14:paraId="5967BFAC" w14:textId="77777777" w:rsidTr="000061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53F92BD3" w14:textId="77777777" w:rsidR="00E84C6A" w:rsidRPr="000F0298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  <w:highlight w:val="yellow"/>
              </w:rPr>
            </w:pPr>
            <w:r w:rsidRPr="00DE53ED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Soggetti beneficiari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28DA4A79" w14:textId="27E7D45B" w:rsidR="000F0298" w:rsidRPr="000F0298" w:rsidRDefault="000061B9" w:rsidP="000F029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Possono beneficiare dell’agevolazione le </w:t>
            </w:r>
            <w:r w:rsidRPr="00472FD6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PMI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comprese le start up innovative</w:t>
            </w:r>
            <w:r w:rsidR="00D7260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</w:t>
            </w:r>
            <w:r w:rsidR="000F029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che abbiano almeno un bilancio chiuso e approvato</w:t>
            </w:r>
            <w:r w:rsidR="00DE53E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4C6A" w:rsidRPr="00D8054D" w14:paraId="077A1911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C3120C4" w14:textId="77777777" w:rsidR="00E84C6A" w:rsidRPr="000F0298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  <w:highlight w:val="green"/>
              </w:rPr>
            </w:pPr>
            <w:r w:rsidRPr="00DE53ED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Spese ammissibili</w:t>
            </w:r>
          </w:p>
        </w:tc>
        <w:tc>
          <w:tcPr>
            <w:tcW w:w="7937" w:type="dxa"/>
            <w:vAlign w:val="center"/>
          </w:tcPr>
          <w:p w14:paraId="7F0151AA" w14:textId="77777777" w:rsidR="00472FD6" w:rsidRDefault="00472FD6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La misura sostiene progetti relativi alla </w:t>
            </w:r>
            <w:r w:rsidRPr="00F34BD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valorizzazione economica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da parte delle PMI di </w:t>
            </w:r>
            <w:r w:rsidRPr="00F34BD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risultati innovativi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conseguiti recentemente </w:t>
            </w:r>
            <w:r w:rsidRPr="00F34BD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attraverso attività di RSI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5243F5ED" w14:textId="77777777" w:rsidR="00125A39" w:rsidRDefault="00125A39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1FC4DC1D" w14:textId="77777777" w:rsidR="008D1D6A" w:rsidRDefault="008D1D6A" w:rsidP="008D1D6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Sono ammissibili i progetti che:</w:t>
            </w:r>
          </w:p>
          <w:p w14:paraId="5E3D11A3" w14:textId="77777777" w:rsidR="008D1D6A" w:rsidRDefault="008D1D6A" w:rsidP="008D1D6A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Configurino un “</w:t>
            </w:r>
            <w:r w:rsidRPr="00F34BD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investimento iniziale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” da intendersi come:</w:t>
            </w:r>
          </w:p>
          <w:p w14:paraId="67DA7088" w14:textId="77777777" w:rsidR="008D1D6A" w:rsidRDefault="008D1D6A" w:rsidP="008D1D6A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34BD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Diversificazione della produzione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di un’unità locale per ottenere prodotti o servizi non fabbricati/forniti precedentemente;</w:t>
            </w:r>
          </w:p>
          <w:p w14:paraId="421BF4D6" w14:textId="77777777" w:rsidR="008D1D6A" w:rsidRDefault="008D1D6A" w:rsidP="008D1D6A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F34BD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Un cambiamento fondamentale del processo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di produzione complessivo del prodotto o dei prodotti interessati dall’investimento nell’unità locale;</w:t>
            </w:r>
          </w:p>
          <w:p w14:paraId="458C9101" w14:textId="25D6DE0A" w:rsidR="008D1D6A" w:rsidRDefault="00CC5401" w:rsidP="008D1D6A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Si</w:t>
            </w:r>
            <w:r w:rsidR="008D1D6A" w:rsidRPr="00472FD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collochino a valle di fasi di ricerca e sviluppo precedentemente condotte e siano caratterizzati da un livello di </w:t>
            </w:r>
            <w:r w:rsidR="008D1D6A" w:rsidRPr="00F34BD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TRL in entrata almeno pari a 8-9</w:t>
            </w:r>
            <w:r w:rsidR="008D1D6A" w:rsidRPr="00472FD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4D013B36" w14:textId="77777777" w:rsidR="00F34BDD" w:rsidRDefault="00F34BDD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4F697DB6" w14:textId="3F130B48" w:rsidR="00472FD6" w:rsidRDefault="008D1D6A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8D1D6A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Ai sensi del presente bando</w:t>
            </w:r>
            <w:r w:rsidR="00125A3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</w:t>
            </w:r>
            <w:r w:rsidRPr="008D1D6A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i progetti devono presentare </w:t>
            </w:r>
            <w:r w:rsidRPr="00CC540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obbligatoriamente</w:t>
            </w:r>
            <w:r w:rsidRPr="008D1D6A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un</w:t>
            </w:r>
            <w:r w:rsidR="00472FD6" w:rsidRPr="00F34BD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piano di sfruttamento tecnico-industriale </w:t>
            </w:r>
            <w:r w:rsidR="0066244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(investimenti connessi all’implementazione delle innovazioni</w:t>
            </w:r>
            <w:r w:rsidR="00125A3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e relativi all’assetto tecnico dell’impresa,</w:t>
            </w:r>
            <w:r w:rsidR="0066244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125A3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quali</w:t>
            </w:r>
            <w:r w:rsidR="0066244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6244B" w:rsidRPr="0066244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macchine, impianti, fabbricati, sistemi di automazione, sistemi di calcolo, e</w:t>
            </w:r>
            <w:r w:rsidR="0056531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</w:t>
            </w:r>
            <w:r w:rsidR="0066244B" w:rsidRPr="0066244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</w:t>
            </w:r>
            <w:r w:rsidR="0056531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  <w:r w:rsidR="0066244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) </w:t>
            </w:r>
            <w:r w:rsidR="00472FD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ed eventualmente </w:t>
            </w:r>
            <w:r w:rsidR="00472FD6" w:rsidRPr="0066244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commerciale</w:t>
            </w:r>
            <w:r w:rsidR="0066244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6244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(investimenti accessori al piano tecnico-industriale</w:t>
            </w:r>
            <w:r w:rsidR="00125A3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e relativi ad</w:t>
            </w:r>
            <w:r w:rsidR="0066244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attività di lancio, comunicazione, promozione, marketing o vendita)</w:t>
            </w:r>
            <w:r w:rsidR="00472FD6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dei risultati di RSI, attraverso la realizzazione nell’attuale assetto delle imprese di innovazioni di processo o di prodotto/servizio. </w:t>
            </w:r>
          </w:p>
          <w:p w14:paraId="36DB79B9" w14:textId="77777777" w:rsidR="00125A39" w:rsidRDefault="00125A39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60564541" w14:textId="64546210" w:rsidR="00125A39" w:rsidRDefault="00125A39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CC540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Le attività di RSI ammissibili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:</w:t>
            </w:r>
          </w:p>
          <w:p w14:paraId="64C9E026" w14:textId="38B4DB78" w:rsidR="00125A39" w:rsidRDefault="00125A39" w:rsidP="00125A39">
            <w:pPr>
              <w:pStyle w:val="Paragrafoelenco"/>
              <w:numPr>
                <w:ilvl w:val="0"/>
                <w:numId w:val="5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possono essere state:</w:t>
            </w:r>
          </w:p>
          <w:p w14:paraId="77B23E1C" w14:textId="4F87FFA5" w:rsidR="00125A39" w:rsidRDefault="00125A39" w:rsidP="00125A39">
            <w:pPr>
              <w:pStyle w:val="Paragrafoelenco"/>
              <w:numPr>
                <w:ilvl w:val="0"/>
                <w:numId w:val="5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CC540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realizzate internamente dall’impresa beneficiaria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(ad esempio attraverso progetti di ricerca e sviluppo co-finanziati con fondi pubblici o integralmente sostenuti con risorse proprie);</w:t>
            </w:r>
          </w:p>
          <w:p w14:paraId="253A6D81" w14:textId="73F1601B" w:rsidR="00125A39" w:rsidRDefault="00125A39" w:rsidP="00125A39">
            <w:pPr>
              <w:pStyle w:val="Paragrafoelenco"/>
              <w:numPr>
                <w:ilvl w:val="0"/>
                <w:numId w:val="5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CC540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commissionate dall’impresa beneficiaria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(attraverso, ad esempio, l’affidamento di commesse di ricerca);</w:t>
            </w:r>
          </w:p>
          <w:p w14:paraId="5359ED0C" w14:textId="10242264" w:rsidR="00125A39" w:rsidRDefault="00125A39" w:rsidP="00125A39">
            <w:pPr>
              <w:pStyle w:val="Paragrafoelenco"/>
              <w:numPr>
                <w:ilvl w:val="0"/>
                <w:numId w:val="5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CC540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realizzate da soggetti terzi in via autonoma e indipendente dall’impresa beneficiaria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(ad esempio in caso di brevetto depositato da un altro soggetto e successivamente acquisito da parte dell’impresa beneficiaria);</w:t>
            </w:r>
          </w:p>
          <w:p w14:paraId="4B252D8C" w14:textId="0B26C840" w:rsidR="00125A39" w:rsidRDefault="00125A39" w:rsidP="00125A39">
            <w:pPr>
              <w:pStyle w:val="Paragrafoelenco"/>
              <w:numPr>
                <w:ilvl w:val="0"/>
                <w:numId w:val="5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CC540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devono risultare coerenti con il piano di sfruttamento tecnico-industriale ed eventualmente commerciale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CC540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e gli investimenti alla base del progetto per cui viene richiesta l’agevolazione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(la coerenza dovrà risultare verificabile attraverso idonea descrizione tecnica dell’oggetto e degli obiettivi delle attività di RSI);</w:t>
            </w:r>
          </w:p>
          <w:p w14:paraId="61703091" w14:textId="40EBDB95" w:rsidR="00CC5401" w:rsidRDefault="00125A39" w:rsidP="009E5AA9">
            <w:pPr>
              <w:pStyle w:val="Paragrafoelenco"/>
              <w:numPr>
                <w:ilvl w:val="0"/>
                <w:numId w:val="5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bookmarkStart w:id="1" w:name="_Hlk181700276"/>
            <w:r w:rsidRPr="009E5AA9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devono essere state dimostrabilmente concluse non oltre 24 mesi prima della data di presentazione della domanda di agevolazione</w:t>
            </w:r>
            <w:r w:rsidR="00CC5401" w:rsidRPr="009E5AA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(anche nel caso di attività di RSI realizzate da parte degli eventuali soggetti terzi)</w:t>
            </w:r>
            <w:r w:rsidRPr="009E5AA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. </w:t>
            </w:r>
          </w:p>
          <w:p w14:paraId="3E16D278" w14:textId="77777777" w:rsidR="00CC5401" w:rsidRDefault="00CC5401" w:rsidP="00CC54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bookmarkEnd w:id="1"/>
          <w:p w14:paraId="47EEC214" w14:textId="60F46084" w:rsidR="00CC5401" w:rsidRDefault="00CC5401" w:rsidP="00CC540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CC540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Il risultato RSI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ottenuto attraverso le attività di cui sopra deve indicare esplicitamente:</w:t>
            </w:r>
          </w:p>
          <w:p w14:paraId="7B4BBC27" w14:textId="76A4382E" w:rsidR="00CC5401" w:rsidRDefault="00CC5401" w:rsidP="00CC5401">
            <w:pPr>
              <w:pStyle w:val="Paragrafoelenco"/>
              <w:numPr>
                <w:ilvl w:val="0"/>
                <w:numId w:val="5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la relativa</w:t>
            </w:r>
            <w:r w:rsidRPr="00CC540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tipologia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(prototipo, brevetto, ecc.);</w:t>
            </w:r>
          </w:p>
          <w:p w14:paraId="0FEEA12D" w14:textId="4B6034CC" w:rsidR="00CC5401" w:rsidRDefault="00CC5401" w:rsidP="00CC5401">
            <w:pPr>
              <w:pStyle w:val="Paragrafoelenco"/>
              <w:numPr>
                <w:ilvl w:val="0"/>
                <w:numId w:val="5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le relative </w:t>
            </w:r>
            <w:r w:rsidRPr="00CC540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caratteristiche tecniche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6D7826EE" w14:textId="674AD1E6" w:rsidR="00CC5401" w:rsidRDefault="00CC5401" w:rsidP="00CC5401">
            <w:pPr>
              <w:pStyle w:val="Paragrafoelenco"/>
              <w:numPr>
                <w:ilvl w:val="0"/>
                <w:numId w:val="5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 relativi </w:t>
            </w:r>
            <w:r w:rsidRPr="00CC540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elementi di innovatività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per l’impresa richiedente o per il mercato di riferimento;</w:t>
            </w:r>
          </w:p>
          <w:p w14:paraId="46B9763A" w14:textId="64B41B9F" w:rsidR="00CC5401" w:rsidRPr="00CC5401" w:rsidRDefault="00CC5401" w:rsidP="00CC5401">
            <w:pPr>
              <w:pStyle w:val="Paragrafoelenco"/>
              <w:numPr>
                <w:ilvl w:val="0"/>
                <w:numId w:val="5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lastRenderedPageBreak/>
              <w:t xml:space="preserve">il </w:t>
            </w:r>
            <w:r w:rsidRPr="00CC540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soggetto titolare della proprietà intellettuale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e le </w:t>
            </w:r>
            <w:r w:rsidRPr="00CC540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tipologie e le modalità di sfruttamento dei relativi diritti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(allegando, ove ricorrente, idonea documentazione contrattuale).</w:t>
            </w:r>
          </w:p>
          <w:p w14:paraId="00986E7D" w14:textId="77777777" w:rsidR="0066244B" w:rsidRPr="00125A39" w:rsidRDefault="0066244B" w:rsidP="00125A3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1564FCD8" w14:textId="2713EE7A" w:rsidR="00F34BDD" w:rsidRDefault="0066244B" w:rsidP="006624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Si precisa che l’importo </w:t>
            </w:r>
            <w:r w:rsidRPr="0066244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minimo di investimento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è in base alla dimensione dell’azienda, nello specifico:</w:t>
            </w:r>
          </w:p>
          <w:p w14:paraId="722E0A11" w14:textId="77777777" w:rsidR="0066244B" w:rsidRPr="0066244B" w:rsidRDefault="0066244B" w:rsidP="0066244B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66244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micro/piccole imprese: €200.000,00;</w:t>
            </w:r>
          </w:p>
          <w:p w14:paraId="7C07B713" w14:textId="77777777" w:rsidR="0066244B" w:rsidRPr="0066244B" w:rsidRDefault="0066244B" w:rsidP="0066244B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66244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medie imprese: €350.000,00.</w:t>
            </w:r>
          </w:p>
          <w:p w14:paraId="05BE2FAB" w14:textId="77777777" w:rsidR="0066244B" w:rsidRDefault="0066244B" w:rsidP="006624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035D5362" w14:textId="77777777" w:rsidR="0066244B" w:rsidRDefault="0066244B" w:rsidP="006624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Inoltre, il termine per la conclusione dei progetti è pari a massimo </w:t>
            </w:r>
            <w:r w:rsidRPr="002370F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18 mesi.</w:t>
            </w:r>
          </w:p>
          <w:p w14:paraId="1D4DF991" w14:textId="77777777" w:rsidR="002370F8" w:rsidRDefault="002370F8" w:rsidP="006624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62C12C5F" w14:textId="77777777" w:rsidR="002370F8" w:rsidRDefault="002370F8" w:rsidP="006624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Sono considerate ammissibili le seguenti tipologie di spesa:</w:t>
            </w:r>
          </w:p>
          <w:p w14:paraId="193168E3" w14:textId="5EAD5E26" w:rsidR="002370F8" w:rsidRPr="002370F8" w:rsidRDefault="002370F8" w:rsidP="002370F8">
            <w:pPr>
              <w:pStyle w:val="Paragrafoelenco"/>
              <w:numPr>
                <w:ilvl w:val="0"/>
                <w:numId w:val="4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370F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Spese per investimenti in attivi materiali e immateriali</w:t>
            </w:r>
          </w:p>
          <w:p w14:paraId="1C6DC5D0" w14:textId="77777777" w:rsidR="002370F8" w:rsidRDefault="002370F8" w:rsidP="002370F8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2370F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Spese finanziate a costo reale:</w:t>
            </w:r>
          </w:p>
          <w:p w14:paraId="1A256DB7" w14:textId="35F3E3B5" w:rsidR="002370F8" w:rsidRDefault="002370F8" w:rsidP="002370F8">
            <w:pPr>
              <w:pStyle w:val="Paragrafoelenco"/>
              <w:numPr>
                <w:ilvl w:val="0"/>
                <w:numId w:val="4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2370F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Spese per acquisto di macchinari e attrezzature o per forniture di componenti funzionali alla realizzazione degli interventi proposti</w:t>
            </w:r>
            <w:r w:rsidRPr="002370F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quali l’acquisto di impianti, macchinari e attrezzature ad uso produttivo, nuovi di fabbrica o ricondizionati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</w:t>
            </w:r>
            <w:r w:rsidRPr="002370F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incluso l’acquisto di hardware e software e di licenze software vitalizie o pluriennali con contratto di durata superiore a 60 mesi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)</w:t>
            </w:r>
            <w:r w:rsidRPr="002370F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. Con riferimento ai beni in leasing, sono ammissibili i relativi canoni, al netto delle quote di interesse, ricompresi nel periodo di eleggibilità delle spese previsto dal bando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(</w:t>
            </w:r>
            <w:r w:rsidRPr="002370F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inclusa l’eventuale maxi rata connessa al riscatto finale del bene). Sono inoltre ammissibili le spese per l’acquisto di arredi nuovi nel limite massimo del 10% delle spese complessivamente ammissibili e le spese per l’acquisto di veicoli (ad esclusione della categoria M1) puliti o a zero emissioni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370F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nel limite massimo del 20% delle spese complessivamente ammissibili. Le spese per l’acquisto di arredi e l’acquisto di veicoli non possono superare cumulativamente il 20% delle spese complessivamente ammissibili;</w:t>
            </w:r>
          </w:p>
          <w:p w14:paraId="2A8F5B7E" w14:textId="1483407D" w:rsidR="002370F8" w:rsidRDefault="002370F8" w:rsidP="002370F8">
            <w:pPr>
              <w:pStyle w:val="Paragrafoelenco"/>
              <w:numPr>
                <w:ilvl w:val="0"/>
                <w:numId w:val="4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2370F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Spese per installazione e posa in opera degli impianti</w:t>
            </w:r>
            <w:r w:rsidRPr="002370F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incluse le opere murarie, ad esclusivo asservimento dei beni di cui al punto 1) e nel limite del 20% dei relativi investimenti ammessi;</w:t>
            </w:r>
          </w:p>
          <w:p w14:paraId="6845259E" w14:textId="0611E061" w:rsidR="002370F8" w:rsidRDefault="002370F8" w:rsidP="002370F8">
            <w:pPr>
              <w:pStyle w:val="Paragrafoelenco"/>
              <w:numPr>
                <w:ilvl w:val="0"/>
                <w:numId w:val="4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2370F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Spese per diritti di proprietà intellettuale</w:t>
            </w:r>
            <w:r w:rsidRPr="002370F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relativ</w:t>
            </w:r>
            <w:r w:rsidRPr="002370F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amente all’acquisto di brevetti, know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-</w:t>
            </w:r>
            <w:r w:rsidRPr="002370F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how, conoscenze tecniche non brevettate strumentali al progetto, ivi incluso l’acquisto di licenze software pluriennali con contratto di durata compresa tra 36 e 60 mesi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286A9438" w14:textId="562D0873" w:rsidR="002370F8" w:rsidRDefault="002370F8" w:rsidP="002370F8">
            <w:pPr>
              <w:pStyle w:val="Paragrafoelenco"/>
              <w:numPr>
                <w:ilvl w:val="0"/>
                <w:numId w:val="4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Spese finanziate a tasso forfettario:</w:t>
            </w:r>
          </w:p>
          <w:p w14:paraId="504A7BD7" w14:textId="2508F5FD" w:rsidR="002370F8" w:rsidRDefault="00CC099C" w:rsidP="002370F8">
            <w:pPr>
              <w:pStyle w:val="Paragrafoelenco"/>
              <w:numPr>
                <w:ilvl w:val="0"/>
                <w:numId w:val="4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</w:t>
            </w:r>
            <w:r w:rsidR="002370F8" w:rsidRPr="002370F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pese generali</w:t>
            </w:r>
            <w:r w:rsidR="002370F8" w:rsidRPr="002370F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direttamente imputabili alla realizzazione del progetto, nel limite massimo del 7% della somma delle spese da 1) a 3) di cui sopra</w:t>
            </w:r>
            <w:r w:rsidR="002370F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2052CDE8" w14:textId="14CC39F7" w:rsidR="002370F8" w:rsidRPr="002370F8" w:rsidRDefault="002370F8" w:rsidP="002370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Si precisa che le spese finanziate a tasso forfettario devono poter trovare corrispondenza nelle pertinenti </w:t>
            </w:r>
            <w:r w:rsidRPr="002370F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voci di spesa del bilancio aziendale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12B1C8EF" w14:textId="77777777" w:rsidR="002370F8" w:rsidRDefault="002370F8" w:rsidP="002370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02C6D05F" w14:textId="5EC188E9" w:rsidR="002370F8" w:rsidRDefault="002370F8" w:rsidP="002370F8">
            <w:pPr>
              <w:pStyle w:val="Paragrafoelenco"/>
              <w:numPr>
                <w:ilvl w:val="0"/>
                <w:numId w:val="4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2370F8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Spese di consulenza</w:t>
            </w:r>
          </w:p>
          <w:p w14:paraId="288B6A4F" w14:textId="33B076E8" w:rsidR="002370F8" w:rsidRPr="002370F8" w:rsidRDefault="00B87E6F" w:rsidP="00B87E6F">
            <w:pPr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Spese esclusivamente connesse e funzionali agli interventi proposti (</w:t>
            </w:r>
            <w:r w:rsidRPr="00B87E6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certificazioni, analisi o test di mercato, piani strategici di comunicazione, promozione o marketing, e</w:t>
            </w:r>
            <w:r w:rsidR="0056531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</w:t>
            </w:r>
            <w:r w:rsidRPr="00B87E6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c.)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nel limite massimo del 30% delle spese complessivamente ammissibili. Risultano essere esclusi i servizi continuativi/periodici e quelli relativi ad attività ordinarie/regolari dell’impresa.</w:t>
            </w:r>
          </w:p>
        </w:tc>
      </w:tr>
      <w:tr w:rsidR="00E84C6A" w:rsidRPr="00D8054D" w14:paraId="75413368" w14:textId="77777777" w:rsidTr="00A822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722055C6" w14:textId="77777777" w:rsidR="00E84C6A" w:rsidRPr="002A7495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  <w:highlight w:val="yellow"/>
              </w:rPr>
            </w:pPr>
            <w:r w:rsidRPr="00DE53ED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Tipologia di agevolazione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5C05D188" w14:textId="77777777" w:rsidR="00B87E6F" w:rsidRDefault="00B87E6F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L’agevolazione consiste nella concessione di un </w:t>
            </w:r>
            <w:r w:rsidRPr="005B187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contributo a fondo perduto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, nel limite </w:t>
            </w:r>
            <w:r w:rsidRPr="005B187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massimo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complessivo di </w:t>
            </w:r>
            <w:r w:rsidRPr="005B187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€1.000.000,00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 copertura dei costi ammissibili sostenuti per la realizzazione dell’intervento proposto, secondo le seguenti percentuali:</w:t>
            </w:r>
          </w:p>
          <w:p w14:paraId="08AF235A" w14:textId="77777777" w:rsidR="00B87E6F" w:rsidRPr="00B87E6F" w:rsidRDefault="00B87E6F" w:rsidP="00B87E6F">
            <w:pPr>
              <w:pStyle w:val="Paragrafoelenco"/>
              <w:numPr>
                <w:ilvl w:val="0"/>
                <w:numId w:val="4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B87E6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Spese per investimenti in attivi materiali e immateriali:</w:t>
            </w:r>
          </w:p>
          <w:p w14:paraId="2A376E07" w14:textId="77777777" w:rsidR="00B87E6F" w:rsidRDefault="00B87E6F" w:rsidP="00B87E6F">
            <w:pPr>
              <w:pStyle w:val="Paragrafoelenco"/>
              <w:numPr>
                <w:ilvl w:val="0"/>
                <w:numId w:val="5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5B187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Micro/piccole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imprese: </w:t>
            </w:r>
            <w:r w:rsidRPr="005B187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20%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6DB28107" w14:textId="77777777" w:rsidR="00B87E6F" w:rsidRDefault="00B87E6F" w:rsidP="00B87E6F">
            <w:pPr>
              <w:pStyle w:val="Paragrafoelenco"/>
              <w:numPr>
                <w:ilvl w:val="0"/>
                <w:numId w:val="5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5B187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Medie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imprese: </w:t>
            </w:r>
            <w:r w:rsidRPr="005B187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10%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50207FB1" w14:textId="77777777" w:rsidR="00B87E6F" w:rsidRPr="005B1877" w:rsidRDefault="00B87E6F" w:rsidP="00B87E6F">
            <w:pPr>
              <w:pStyle w:val="Paragrafoelenco"/>
              <w:numPr>
                <w:ilvl w:val="0"/>
                <w:numId w:val="4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5B187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Spese di consulenza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pari al </w:t>
            </w:r>
            <w:r w:rsidRPr="005B187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50%.</w:t>
            </w:r>
          </w:p>
          <w:p w14:paraId="5B72541C" w14:textId="77777777" w:rsidR="005B1877" w:rsidRDefault="005B1877" w:rsidP="005B18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7A4FBCEC" w14:textId="77777777" w:rsidR="005B1877" w:rsidRDefault="005B1877" w:rsidP="005B18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La misura prevede il riconoscimento di premialità se:</w:t>
            </w:r>
          </w:p>
          <w:p w14:paraId="52D1D341" w14:textId="77777777" w:rsidR="005B1877" w:rsidRDefault="005B1877" w:rsidP="005B1877">
            <w:pPr>
              <w:pStyle w:val="Paragrafoelenco"/>
              <w:numPr>
                <w:ilvl w:val="0"/>
                <w:numId w:val="5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8225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L’intervento è realizzato in area 107.3.c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della carta nazionale degli aiuti di stato a finalità regionale (l’elenco dei comuni è disponibile sul sito internet: </w:t>
            </w:r>
            <w:hyperlink r:id="rId10" w:anchor=":~:text=La%20Carta%20nazionale%20degli%20aiuti,percentuale%20dei%20costi%20di%20investime" w:history="1">
              <w:r w:rsidRPr="005B1877">
                <w:rPr>
                  <w:rStyle w:val="Collegamentoipertestuale"/>
                  <w:rFonts w:ascii="Century Gothic" w:hAnsi="Century Gothic" w:cstheme="minorHAnsi"/>
                  <w:sz w:val="20"/>
                  <w:szCs w:val="20"/>
                </w:rPr>
                <w:t>Carta nazionale degli aiuti a finalità regionale 2022-2027 – revisione intermedia (2024-2027) | Regione Piemonte</w:t>
              </w:r>
            </w:hyperlink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);</w:t>
            </w:r>
          </w:p>
          <w:p w14:paraId="79638BE2" w14:textId="13CE6259" w:rsidR="005B1877" w:rsidRDefault="005B1877" w:rsidP="005B1877">
            <w:pPr>
              <w:pStyle w:val="Paragrafoelenco"/>
              <w:numPr>
                <w:ilvl w:val="0"/>
                <w:numId w:val="5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8225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Il progetto comporta un incremento della sostenibilità ambientale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(gli interventi che risultino coerenti </w:t>
            </w:r>
            <w:r w:rsidR="00A8225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rispetto al modello dell’economia circolare</w:t>
            </w:r>
            <w:r w:rsidR="0056531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)</w:t>
            </w:r>
            <w:r w:rsidR="00A8225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2B955B7A" w14:textId="181693E8" w:rsidR="00A82252" w:rsidRPr="00A82252" w:rsidRDefault="00A82252" w:rsidP="005B1877">
            <w:pPr>
              <w:pStyle w:val="Paragrafoelenco"/>
              <w:numPr>
                <w:ilvl w:val="0"/>
                <w:numId w:val="5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A8225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Il progetto comporta un incremento della sostenibilità ambientale realizzato in area 107.3.c</w:t>
            </w: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.</w:t>
            </w:r>
          </w:p>
          <w:p w14:paraId="5C55EA3B" w14:textId="77777777" w:rsidR="00A82252" w:rsidRDefault="00A82252" w:rsidP="00A82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14A90789" w14:textId="77DC0C5C" w:rsidR="00A82252" w:rsidRDefault="00A82252" w:rsidP="00A82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 seguire una tabella riepilogativa con le intensità di aiuto sopra descritte.</w:t>
            </w:r>
          </w:p>
          <w:p w14:paraId="7F8F4BAE" w14:textId="77777777" w:rsidR="00A82252" w:rsidRDefault="00A82252" w:rsidP="00A82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A82252">
              <w:rPr>
                <w:rFonts w:ascii="Century Gothic" w:hAnsi="Century Gothic" w:cstheme="minorHAnsi"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597B5EAF" wp14:editId="3C9C964D">
                  <wp:extent cx="6119188" cy="2786289"/>
                  <wp:effectExtent l="0" t="0" r="0" b="0"/>
                  <wp:docPr id="81695642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956425" name=""/>
                          <pic:cNvPicPr/>
                        </pic:nvPicPr>
                        <pic:blipFill rotWithShape="1">
                          <a:blip r:embed="rId11"/>
                          <a:srcRect t="5311" b="4073"/>
                          <a:stretch/>
                        </pic:blipFill>
                        <pic:spPr bwMode="auto">
                          <a:xfrm>
                            <a:off x="0" y="0"/>
                            <a:ext cx="6120130" cy="2786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578EF1" w14:textId="77777777" w:rsidR="00A82252" w:rsidRDefault="00A82252" w:rsidP="00A82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1FCBA4B8" w14:textId="180DF64A" w:rsidR="004661C3" w:rsidRDefault="004661C3" w:rsidP="00A822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L’agevolazione è cumulabile con:</w:t>
            </w:r>
          </w:p>
          <w:p w14:paraId="39D2DA9E" w14:textId="3ECBEC0F" w:rsidR="004661C3" w:rsidRDefault="004661C3" w:rsidP="004661C3">
            <w:pPr>
              <w:pStyle w:val="Paragrafoelenco"/>
              <w:numPr>
                <w:ilvl w:val="0"/>
                <w:numId w:val="5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Agevolazioni fiscali o in altra forma, non costituenti aiuti di Stato o aiuti “de minimi</w:t>
            </w:r>
            <w:r w:rsidR="000F0298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”, sugli stessi documenti di spesa;</w:t>
            </w:r>
          </w:p>
          <w:p w14:paraId="311A7D42" w14:textId="3E00AA11" w:rsidR="00DE53ED" w:rsidRDefault="000F0298" w:rsidP="00A82252">
            <w:pPr>
              <w:pStyle w:val="Paragrafoelenco"/>
              <w:numPr>
                <w:ilvl w:val="0"/>
                <w:numId w:val="5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Altri aiuti di Stato o aiuti “de minimis” purch</w:t>
            </w:r>
            <w:r w:rsidR="009C041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é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vengano rispettati i massimali previsti dai rispettivi regolamenti</w:t>
            </w:r>
            <w:r w:rsidR="00DE53E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30DBA477" w14:textId="2825116E" w:rsidR="00A82252" w:rsidRPr="00DE53ED" w:rsidRDefault="004661C3" w:rsidP="00DE53E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E53E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La misura non è invece cumulabile con fondi europei sugli stessi documenti di spesa.</w:t>
            </w:r>
          </w:p>
        </w:tc>
      </w:tr>
      <w:tr w:rsidR="00E84C6A" w:rsidRPr="00D8054D" w14:paraId="572EE41E" w14:textId="77777777" w:rsidTr="009E5AA9">
        <w:trPr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15E163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Iter di domanda</w:t>
            </w:r>
          </w:p>
        </w:tc>
        <w:tc>
          <w:tcPr>
            <w:tcW w:w="7937" w:type="dxa"/>
            <w:vAlign w:val="center"/>
          </w:tcPr>
          <w:p w14:paraId="2F331EBC" w14:textId="3EB22781" w:rsidR="004661C3" w:rsidRPr="00444696" w:rsidRDefault="004661C3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Le domande di agevolazione devono essere presentate telematicamente sulla</w:t>
            </w:r>
            <w:r w:rsidR="0039169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piattaforma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FINDOM</w:t>
            </w:r>
            <w:r w:rsidR="0039169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,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compilando il modulo attraverso il sito </w:t>
            </w:r>
            <w:hyperlink r:id="rId12" w:history="1">
              <w:r w:rsidR="0039169F" w:rsidRPr="004A1A7C">
                <w:rPr>
                  <w:rStyle w:val="Collegamentoipertestuale"/>
                  <w:rFonts w:ascii="Century Gothic" w:hAnsi="Century Gothic" w:cstheme="minorHAnsi"/>
                  <w:sz w:val="20"/>
                  <w:szCs w:val="20"/>
                </w:rPr>
                <w:t>https://servizi.regione.piemonte.it/catalogo/bandi-por-fesr-finanziamenti-domande</w:t>
              </w:r>
            </w:hyperlink>
            <w:r w:rsidR="0039169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. </w:t>
            </w:r>
          </w:p>
        </w:tc>
      </w:tr>
      <w:bookmarkEnd w:id="0"/>
    </w:tbl>
    <w:p w14:paraId="35149C31" w14:textId="2BD75066" w:rsidR="007476F0" w:rsidRDefault="007476F0" w:rsidP="00E84C6A">
      <w:pPr>
        <w:spacing w:after="160" w:line="259" w:lineRule="auto"/>
        <w:sectPr w:rsidR="007476F0" w:rsidSect="001109C7">
          <w:footerReference w:type="default" r:id="rId13"/>
          <w:pgSz w:w="11906" w:h="16838"/>
          <w:pgMar w:top="1417" w:right="1134" w:bottom="1134" w:left="1134" w:header="794" w:footer="170" w:gutter="0"/>
          <w:cols w:space="708"/>
          <w:docGrid w:linePitch="360"/>
        </w:sectPr>
      </w:pPr>
    </w:p>
    <w:p w14:paraId="20BC05F1" w14:textId="06B87EFB" w:rsidR="00AE5403" w:rsidRDefault="009E6133">
      <w:pPr>
        <w:spacing w:after="160" w:line="259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6432" behindDoc="0" locked="0" layoutInCell="1" allowOverlap="1" wp14:anchorId="6EEC2006" wp14:editId="6AD5F48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17880" cy="81216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00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DC01967" wp14:editId="52D9E019">
            <wp:simplePos x="0" y="0"/>
            <wp:positionH relativeFrom="margin">
              <wp:posOffset>-712470</wp:posOffset>
            </wp:positionH>
            <wp:positionV relativeFrom="margin">
              <wp:posOffset>-785495</wp:posOffset>
            </wp:positionV>
            <wp:extent cx="7551421" cy="10636829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1" cy="10636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ECC63" w14:textId="365DA2CA" w:rsidR="00D8054D" w:rsidRPr="001B4DAE" w:rsidRDefault="00D8054D" w:rsidP="00D8054D">
      <w:pPr>
        <w:jc w:val="center"/>
      </w:pPr>
    </w:p>
    <w:sectPr w:rsidR="00D8054D" w:rsidRPr="001B4DAE" w:rsidSect="001109C7">
      <w:pgSz w:w="11906" w:h="16838"/>
      <w:pgMar w:top="1417" w:right="1134" w:bottom="1134" w:left="1134" w:header="141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F85A0" w14:textId="77777777" w:rsidR="00E40A82" w:rsidRDefault="00E40A82" w:rsidP="008B7C0B">
      <w:r>
        <w:separator/>
      </w:r>
    </w:p>
  </w:endnote>
  <w:endnote w:type="continuationSeparator" w:id="0">
    <w:p w14:paraId="1A5B002B" w14:textId="77777777" w:rsidR="00E40A82" w:rsidRDefault="00E40A82" w:rsidP="008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D1A2" w14:textId="2C1B8388" w:rsidR="00AE5403" w:rsidRPr="007F263E" w:rsidRDefault="0085014F" w:rsidP="00491D50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7FF9548" wp14:editId="030EBDA8">
          <wp:extent cx="1322705" cy="64897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en traspare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54FFF" w14:textId="4213A068" w:rsidR="00157460" w:rsidRPr="007F263E" w:rsidRDefault="00157460" w:rsidP="0085014F">
    <w:pPr>
      <w:pStyle w:val="Pidipagina"/>
      <w:rPr>
        <w:color w:val="00B0F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90CD" w14:textId="7710D884" w:rsidR="00AE5403" w:rsidRPr="007F263E" w:rsidRDefault="0022701E" w:rsidP="0022701E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C4F2C39" wp14:editId="0CCB23A9">
          <wp:extent cx="1611920" cy="57511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920" cy="57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20F4A" w14:textId="77777777" w:rsidR="00E40A82" w:rsidRDefault="00E40A82" w:rsidP="008B7C0B">
      <w:r>
        <w:separator/>
      </w:r>
    </w:p>
  </w:footnote>
  <w:footnote w:type="continuationSeparator" w:id="0">
    <w:p w14:paraId="0A95F80E" w14:textId="77777777" w:rsidR="00E40A82" w:rsidRDefault="00E40A82" w:rsidP="008B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2432C"/>
    <w:multiLevelType w:val="hybridMultilevel"/>
    <w:tmpl w:val="2146F38A"/>
    <w:lvl w:ilvl="0" w:tplc="14EA9FF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06D63"/>
    <w:multiLevelType w:val="hybridMultilevel"/>
    <w:tmpl w:val="C9C2C3EA"/>
    <w:lvl w:ilvl="0" w:tplc="92A09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A23DEF"/>
    <w:multiLevelType w:val="hybridMultilevel"/>
    <w:tmpl w:val="F07A25CC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03FDF"/>
    <w:multiLevelType w:val="multilevel"/>
    <w:tmpl w:val="21E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5554B"/>
    <w:multiLevelType w:val="hybridMultilevel"/>
    <w:tmpl w:val="AD960026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16480C"/>
    <w:multiLevelType w:val="hybridMultilevel"/>
    <w:tmpl w:val="77846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6E5F58"/>
    <w:multiLevelType w:val="hybridMultilevel"/>
    <w:tmpl w:val="FA6CC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391294"/>
    <w:multiLevelType w:val="hybridMultilevel"/>
    <w:tmpl w:val="C758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A70C2"/>
    <w:multiLevelType w:val="hybridMultilevel"/>
    <w:tmpl w:val="BC908E12"/>
    <w:lvl w:ilvl="0" w:tplc="896207DC">
      <w:start w:val="3"/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852E76"/>
    <w:multiLevelType w:val="hybridMultilevel"/>
    <w:tmpl w:val="56045E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1D721D"/>
    <w:multiLevelType w:val="hybridMultilevel"/>
    <w:tmpl w:val="3208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C11C52"/>
    <w:multiLevelType w:val="hybridMultilevel"/>
    <w:tmpl w:val="461E5C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3621A4"/>
    <w:multiLevelType w:val="hybridMultilevel"/>
    <w:tmpl w:val="871EE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016F5"/>
    <w:multiLevelType w:val="hybridMultilevel"/>
    <w:tmpl w:val="F1B2D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6C0B69"/>
    <w:multiLevelType w:val="hybridMultilevel"/>
    <w:tmpl w:val="8634E2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53770"/>
    <w:multiLevelType w:val="hybridMultilevel"/>
    <w:tmpl w:val="E84C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C02A58"/>
    <w:multiLevelType w:val="hybridMultilevel"/>
    <w:tmpl w:val="8C984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C3C58"/>
    <w:multiLevelType w:val="hybridMultilevel"/>
    <w:tmpl w:val="798A06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7E25B5"/>
    <w:multiLevelType w:val="hybridMultilevel"/>
    <w:tmpl w:val="8A3824A4"/>
    <w:lvl w:ilvl="0" w:tplc="1CF4FD9A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58172B"/>
    <w:multiLevelType w:val="hybridMultilevel"/>
    <w:tmpl w:val="730C3678"/>
    <w:lvl w:ilvl="0" w:tplc="C04254D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60A080E"/>
    <w:multiLevelType w:val="hybridMultilevel"/>
    <w:tmpl w:val="D3B0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6371FA"/>
    <w:multiLevelType w:val="hybridMultilevel"/>
    <w:tmpl w:val="45623F5C"/>
    <w:lvl w:ilvl="0" w:tplc="55147260">
      <w:start w:val="61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51DBA"/>
    <w:multiLevelType w:val="hybridMultilevel"/>
    <w:tmpl w:val="B01EFF2A"/>
    <w:lvl w:ilvl="0" w:tplc="1AA488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231777"/>
    <w:multiLevelType w:val="hybridMultilevel"/>
    <w:tmpl w:val="BCCE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C337CF"/>
    <w:multiLevelType w:val="hybridMultilevel"/>
    <w:tmpl w:val="C4AEE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5B6B7B"/>
    <w:multiLevelType w:val="hybridMultilevel"/>
    <w:tmpl w:val="212C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4969B0"/>
    <w:multiLevelType w:val="hybridMultilevel"/>
    <w:tmpl w:val="A8E62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773F9"/>
    <w:multiLevelType w:val="hybridMultilevel"/>
    <w:tmpl w:val="4FA4D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210DCD"/>
    <w:multiLevelType w:val="hybridMultilevel"/>
    <w:tmpl w:val="5064A3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B96CF3"/>
    <w:multiLevelType w:val="hybridMultilevel"/>
    <w:tmpl w:val="0696F8E0"/>
    <w:lvl w:ilvl="0" w:tplc="134481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25874BE"/>
    <w:multiLevelType w:val="hybridMultilevel"/>
    <w:tmpl w:val="46AA7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EC5016"/>
    <w:multiLevelType w:val="hybridMultilevel"/>
    <w:tmpl w:val="6534F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36362E"/>
    <w:multiLevelType w:val="hybridMultilevel"/>
    <w:tmpl w:val="5C06E554"/>
    <w:lvl w:ilvl="0" w:tplc="4C4C7DF4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DB3FB5"/>
    <w:multiLevelType w:val="hybridMultilevel"/>
    <w:tmpl w:val="975C3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14103"/>
    <w:multiLevelType w:val="hybridMultilevel"/>
    <w:tmpl w:val="306C1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736A63"/>
    <w:multiLevelType w:val="hybridMultilevel"/>
    <w:tmpl w:val="4D0407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CC2844"/>
    <w:multiLevelType w:val="hybridMultilevel"/>
    <w:tmpl w:val="3EC46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4E51C6"/>
    <w:multiLevelType w:val="hybridMultilevel"/>
    <w:tmpl w:val="0AF82A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2DC14C4"/>
    <w:multiLevelType w:val="hybridMultilevel"/>
    <w:tmpl w:val="6408F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FF19CB"/>
    <w:multiLevelType w:val="hybridMultilevel"/>
    <w:tmpl w:val="5D32C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CA4AB2"/>
    <w:multiLevelType w:val="hybridMultilevel"/>
    <w:tmpl w:val="2D625A84"/>
    <w:lvl w:ilvl="0" w:tplc="17AEE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77021D7"/>
    <w:multiLevelType w:val="hybridMultilevel"/>
    <w:tmpl w:val="EE6E86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3F330B0"/>
    <w:multiLevelType w:val="hybridMultilevel"/>
    <w:tmpl w:val="724A0CF0"/>
    <w:lvl w:ilvl="0" w:tplc="0F98751E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9E7D85"/>
    <w:multiLevelType w:val="hybridMultilevel"/>
    <w:tmpl w:val="CBD40E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7C9490E"/>
    <w:multiLevelType w:val="hybridMultilevel"/>
    <w:tmpl w:val="CD84BC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98D1C49"/>
    <w:multiLevelType w:val="hybridMultilevel"/>
    <w:tmpl w:val="C0621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967908"/>
    <w:multiLevelType w:val="hybridMultilevel"/>
    <w:tmpl w:val="F08CE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B3B74DF"/>
    <w:multiLevelType w:val="hybridMultilevel"/>
    <w:tmpl w:val="E11A43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D4658FC"/>
    <w:multiLevelType w:val="hybridMultilevel"/>
    <w:tmpl w:val="61C2C6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3334640"/>
    <w:multiLevelType w:val="hybridMultilevel"/>
    <w:tmpl w:val="9104A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4D6CBA"/>
    <w:multiLevelType w:val="hybridMultilevel"/>
    <w:tmpl w:val="D5E43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F277A7"/>
    <w:multiLevelType w:val="hybridMultilevel"/>
    <w:tmpl w:val="3A621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9C718A5"/>
    <w:multiLevelType w:val="hybridMultilevel"/>
    <w:tmpl w:val="D50CE76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0852BF"/>
    <w:multiLevelType w:val="hybridMultilevel"/>
    <w:tmpl w:val="AE7AF702"/>
    <w:lvl w:ilvl="0" w:tplc="DAFEC1A0">
      <w:start w:val="14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BC577DE"/>
    <w:multiLevelType w:val="hybridMultilevel"/>
    <w:tmpl w:val="4F223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992931"/>
    <w:multiLevelType w:val="hybridMultilevel"/>
    <w:tmpl w:val="F75A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2542">
    <w:abstractNumId w:val="3"/>
  </w:num>
  <w:num w:numId="2" w16cid:durableId="1578250980">
    <w:abstractNumId w:val="35"/>
  </w:num>
  <w:num w:numId="3" w16cid:durableId="717972033">
    <w:abstractNumId w:val="18"/>
  </w:num>
  <w:num w:numId="4" w16cid:durableId="532420177">
    <w:abstractNumId w:val="23"/>
  </w:num>
  <w:num w:numId="5" w16cid:durableId="2045672302">
    <w:abstractNumId w:val="16"/>
  </w:num>
  <w:num w:numId="6" w16cid:durableId="458184831">
    <w:abstractNumId w:val="33"/>
  </w:num>
  <w:num w:numId="7" w16cid:durableId="1587156178">
    <w:abstractNumId w:val="45"/>
  </w:num>
  <w:num w:numId="8" w16cid:durableId="524564467">
    <w:abstractNumId w:val="10"/>
  </w:num>
  <w:num w:numId="9" w16cid:durableId="1954749045">
    <w:abstractNumId w:val="7"/>
  </w:num>
  <w:num w:numId="10" w16cid:durableId="438110789">
    <w:abstractNumId w:val="55"/>
  </w:num>
  <w:num w:numId="11" w16cid:durableId="1357803773">
    <w:abstractNumId w:val="50"/>
  </w:num>
  <w:num w:numId="12" w16cid:durableId="484393784">
    <w:abstractNumId w:val="54"/>
  </w:num>
  <w:num w:numId="13" w16cid:durableId="850606727">
    <w:abstractNumId w:val="49"/>
  </w:num>
  <w:num w:numId="14" w16cid:durableId="549656214">
    <w:abstractNumId w:val="8"/>
  </w:num>
  <w:num w:numId="15" w16cid:durableId="1854303287">
    <w:abstractNumId w:val="46"/>
  </w:num>
  <w:num w:numId="16" w16cid:durableId="396443553">
    <w:abstractNumId w:val="26"/>
  </w:num>
  <w:num w:numId="17" w16cid:durableId="927889903">
    <w:abstractNumId w:val="2"/>
  </w:num>
  <w:num w:numId="18" w16cid:durableId="1489514041">
    <w:abstractNumId w:val="39"/>
  </w:num>
  <w:num w:numId="19" w16cid:durableId="90660573">
    <w:abstractNumId w:val="4"/>
  </w:num>
  <w:num w:numId="20" w16cid:durableId="2000385477">
    <w:abstractNumId w:val="40"/>
  </w:num>
  <w:num w:numId="21" w16cid:durableId="1529247834">
    <w:abstractNumId w:val="31"/>
  </w:num>
  <w:num w:numId="22" w16cid:durableId="1433016128">
    <w:abstractNumId w:val="48"/>
  </w:num>
  <w:num w:numId="23" w16cid:durableId="666711373">
    <w:abstractNumId w:val="41"/>
  </w:num>
  <w:num w:numId="24" w16cid:durableId="1880124839">
    <w:abstractNumId w:val="25"/>
  </w:num>
  <w:num w:numId="25" w16cid:durableId="1092044293">
    <w:abstractNumId w:val="47"/>
  </w:num>
  <w:num w:numId="26" w16cid:durableId="2018994266">
    <w:abstractNumId w:val="5"/>
  </w:num>
  <w:num w:numId="27" w16cid:durableId="1933464916">
    <w:abstractNumId w:val="51"/>
  </w:num>
  <w:num w:numId="28" w16cid:durableId="2044554697">
    <w:abstractNumId w:val="13"/>
  </w:num>
  <w:num w:numId="29" w16cid:durableId="1921451260">
    <w:abstractNumId w:val="6"/>
  </w:num>
  <w:num w:numId="30" w16cid:durableId="451630862">
    <w:abstractNumId w:val="15"/>
  </w:num>
  <w:num w:numId="31" w16cid:durableId="1824083479">
    <w:abstractNumId w:val="9"/>
  </w:num>
  <w:num w:numId="32" w16cid:durableId="1565213087">
    <w:abstractNumId w:val="32"/>
  </w:num>
  <w:num w:numId="33" w16cid:durableId="1507984646">
    <w:abstractNumId w:val="53"/>
  </w:num>
  <w:num w:numId="34" w16cid:durableId="1725564744">
    <w:abstractNumId w:val="37"/>
  </w:num>
  <w:num w:numId="35" w16cid:durableId="2116289261">
    <w:abstractNumId w:val="44"/>
  </w:num>
  <w:num w:numId="36" w16cid:durableId="127095275">
    <w:abstractNumId w:val="19"/>
  </w:num>
  <w:num w:numId="37" w16cid:durableId="2105835486">
    <w:abstractNumId w:val="14"/>
  </w:num>
  <w:num w:numId="38" w16cid:durableId="2105102396">
    <w:abstractNumId w:val="43"/>
  </w:num>
  <w:num w:numId="39" w16cid:durableId="69353132">
    <w:abstractNumId w:val="17"/>
  </w:num>
  <w:num w:numId="40" w16cid:durableId="463429389">
    <w:abstractNumId w:val="28"/>
  </w:num>
  <w:num w:numId="41" w16cid:durableId="1561935987">
    <w:abstractNumId w:val="27"/>
  </w:num>
  <w:num w:numId="42" w16cid:durableId="225184952">
    <w:abstractNumId w:val="20"/>
  </w:num>
  <w:num w:numId="43" w16cid:durableId="676662446">
    <w:abstractNumId w:val="12"/>
  </w:num>
  <w:num w:numId="44" w16cid:durableId="108205865">
    <w:abstractNumId w:val="30"/>
  </w:num>
  <w:num w:numId="45" w16cid:durableId="1855805722">
    <w:abstractNumId w:val="29"/>
  </w:num>
  <w:num w:numId="46" w16cid:durableId="1818835549">
    <w:abstractNumId w:val="34"/>
  </w:num>
  <w:num w:numId="47" w16cid:durableId="1897742798">
    <w:abstractNumId w:val="1"/>
  </w:num>
  <w:num w:numId="48" w16cid:durableId="203566932">
    <w:abstractNumId w:val="52"/>
  </w:num>
  <w:num w:numId="49" w16cid:durableId="625307676">
    <w:abstractNumId w:val="11"/>
  </w:num>
  <w:num w:numId="50" w16cid:durableId="465389552">
    <w:abstractNumId w:val="42"/>
  </w:num>
  <w:num w:numId="51" w16cid:durableId="345518566">
    <w:abstractNumId w:val="0"/>
  </w:num>
  <w:num w:numId="52" w16cid:durableId="866869496">
    <w:abstractNumId w:val="24"/>
  </w:num>
  <w:num w:numId="53" w16cid:durableId="918756598">
    <w:abstractNumId w:val="38"/>
  </w:num>
  <w:num w:numId="54" w16cid:durableId="1242057232">
    <w:abstractNumId w:val="22"/>
  </w:num>
  <w:num w:numId="55" w16cid:durableId="2124644095">
    <w:abstractNumId w:val="36"/>
  </w:num>
  <w:num w:numId="56" w16cid:durableId="18004202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0B"/>
    <w:rsid w:val="00000093"/>
    <w:rsid w:val="000046F1"/>
    <w:rsid w:val="000061B9"/>
    <w:rsid w:val="0001620D"/>
    <w:rsid w:val="00071C1E"/>
    <w:rsid w:val="000A7FD2"/>
    <w:rsid w:val="000F0298"/>
    <w:rsid w:val="001109C7"/>
    <w:rsid w:val="00125A39"/>
    <w:rsid w:val="0014722C"/>
    <w:rsid w:val="00157460"/>
    <w:rsid w:val="00171A4E"/>
    <w:rsid w:val="001725D3"/>
    <w:rsid w:val="00175D10"/>
    <w:rsid w:val="0018190C"/>
    <w:rsid w:val="00194075"/>
    <w:rsid w:val="00195229"/>
    <w:rsid w:val="001B4DAE"/>
    <w:rsid w:val="001E18FE"/>
    <w:rsid w:val="001E5399"/>
    <w:rsid w:val="001F129B"/>
    <w:rsid w:val="001F5CEF"/>
    <w:rsid w:val="00216122"/>
    <w:rsid w:val="00223541"/>
    <w:rsid w:val="0022701E"/>
    <w:rsid w:val="002355A5"/>
    <w:rsid w:val="002370F8"/>
    <w:rsid w:val="002400E3"/>
    <w:rsid w:val="002415BF"/>
    <w:rsid w:val="00256AD6"/>
    <w:rsid w:val="0026300C"/>
    <w:rsid w:val="00272814"/>
    <w:rsid w:val="00291249"/>
    <w:rsid w:val="00291EAF"/>
    <w:rsid w:val="002930A9"/>
    <w:rsid w:val="002A7495"/>
    <w:rsid w:val="002B2DAC"/>
    <w:rsid w:val="002B4653"/>
    <w:rsid w:val="002C2528"/>
    <w:rsid w:val="002C6E84"/>
    <w:rsid w:val="002F6E89"/>
    <w:rsid w:val="00306219"/>
    <w:rsid w:val="0031747F"/>
    <w:rsid w:val="00320EC0"/>
    <w:rsid w:val="0035398D"/>
    <w:rsid w:val="003663EE"/>
    <w:rsid w:val="00366A41"/>
    <w:rsid w:val="003879DA"/>
    <w:rsid w:val="0039169F"/>
    <w:rsid w:val="003A0A8D"/>
    <w:rsid w:val="003A46C0"/>
    <w:rsid w:val="003B5098"/>
    <w:rsid w:val="003D4974"/>
    <w:rsid w:val="003E1D3F"/>
    <w:rsid w:val="003F38DC"/>
    <w:rsid w:val="00401B9C"/>
    <w:rsid w:val="004034D6"/>
    <w:rsid w:val="00410360"/>
    <w:rsid w:val="00444696"/>
    <w:rsid w:val="004661C3"/>
    <w:rsid w:val="00472FD6"/>
    <w:rsid w:val="00474A8F"/>
    <w:rsid w:val="00487E5F"/>
    <w:rsid w:val="00490D2E"/>
    <w:rsid w:val="00491D50"/>
    <w:rsid w:val="004B55F3"/>
    <w:rsid w:val="004B5C85"/>
    <w:rsid w:val="004B5DFE"/>
    <w:rsid w:val="004C79A0"/>
    <w:rsid w:val="004D1E2A"/>
    <w:rsid w:val="004E4547"/>
    <w:rsid w:val="004F2E3C"/>
    <w:rsid w:val="00500BB7"/>
    <w:rsid w:val="005261A9"/>
    <w:rsid w:val="005314A6"/>
    <w:rsid w:val="00543916"/>
    <w:rsid w:val="0054697E"/>
    <w:rsid w:val="00565312"/>
    <w:rsid w:val="00587C62"/>
    <w:rsid w:val="00591F46"/>
    <w:rsid w:val="005A247C"/>
    <w:rsid w:val="005B1877"/>
    <w:rsid w:val="005C3EC9"/>
    <w:rsid w:val="005E649A"/>
    <w:rsid w:val="005E7547"/>
    <w:rsid w:val="00600254"/>
    <w:rsid w:val="0061505B"/>
    <w:rsid w:val="00622A3B"/>
    <w:rsid w:val="00641C62"/>
    <w:rsid w:val="00645928"/>
    <w:rsid w:val="0066244B"/>
    <w:rsid w:val="00670643"/>
    <w:rsid w:val="00674DCD"/>
    <w:rsid w:val="00681921"/>
    <w:rsid w:val="0068282C"/>
    <w:rsid w:val="00697773"/>
    <w:rsid w:val="006A350F"/>
    <w:rsid w:val="006F133B"/>
    <w:rsid w:val="006F7044"/>
    <w:rsid w:val="00707C78"/>
    <w:rsid w:val="00721ABE"/>
    <w:rsid w:val="00723C02"/>
    <w:rsid w:val="00724A8E"/>
    <w:rsid w:val="007255CF"/>
    <w:rsid w:val="007476F0"/>
    <w:rsid w:val="007B0DBC"/>
    <w:rsid w:val="007B7450"/>
    <w:rsid w:val="007C4DA7"/>
    <w:rsid w:val="007E65D8"/>
    <w:rsid w:val="007F219B"/>
    <w:rsid w:val="007F263E"/>
    <w:rsid w:val="007F33D4"/>
    <w:rsid w:val="007F5BEA"/>
    <w:rsid w:val="00804643"/>
    <w:rsid w:val="00805C80"/>
    <w:rsid w:val="00817C42"/>
    <w:rsid w:val="00826027"/>
    <w:rsid w:val="008361B6"/>
    <w:rsid w:val="0085014F"/>
    <w:rsid w:val="00850847"/>
    <w:rsid w:val="00857E15"/>
    <w:rsid w:val="00877C55"/>
    <w:rsid w:val="008B1D82"/>
    <w:rsid w:val="008B3DD2"/>
    <w:rsid w:val="008B40AF"/>
    <w:rsid w:val="008B4DE4"/>
    <w:rsid w:val="008B767B"/>
    <w:rsid w:val="008B793F"/>
    <w:rsid w:val="008B7C0B"/>
    <w:rsid w:val="008D1D6A"/>
    <w:rsid w:val="008D45EF"/>
    <w:rsid w:val="009003CC"/>
    <w:rsid w:val="0090350D"/>
    <w:rsid w:val="009048B2"/>
    <w:rsid w:val="00915C2C"/>
    <w:rsid w:val="009267EC"/>
    <w:rsid w:val="00945EFD"/>
    <w:rsid w:val="009567FA"/>
    <w:rsid w:val="00991315"/>
    <w:rsid w:val="009930FD"/>
    <w:rsid w:val="009B0A16"/>
    <w:rsid w:val="009B6C79"/>
    <w:rsid w:val="009C0412"/>
    <w:rsid w:val="009C38B4"/>
    <w:rsid w:val="009C5560"/>
    <w:rsid w:val="009E5AA9"/>
    <w:rsid w:val="009E6133"/>
    <w:rsid w:val="009F3608"/>
    <w:rsid w:val="00A10FD7"/>
    <w:rsid w:val="00A364E4"/>
    <w:rsid w:val="00A45193"/>
    <w:rsid w:val="00A718F1"/>
    <w:rsid w:val="00A7630D"/>
    <w:rsid w:val="00A82252"/>
    <w:rsid w:val="00A914C7"/>
    <w:rsid w:val="00AB2CCE"/>
    <w:rsid w:val="00AB67FD"/>
    <w:rsid w:val="00AD0AE2"/>
    <w:rsid w:val="00AE5403"/>
    <w:rsid w:val="00B1060A"/>
    <w:rsid w:val="00B16A90"/>
    <w:rsid w:val="00B45C5F"/>
    <w:rsid w:val="00B47A78"/>
    <w:rsid w:val="00B77E42"/>
    <w:rsid w:val="00B844AA"/>
    <w:rsid w:val="00B86DCC"/>
    <w:rsid w:val="00B87E6F"/>
    <w:rsid w:val="00B91504"/>
    <w:rsid w:val="00B97192"/>
    <w:rsid w:val="00BC0F96"/>
    <w:rsid w:val="00BF338C"/>
    <w:rsid w:val="00BF6C9A"/>
    <w:rsid w:val="00C23E8D"/>
    <w:rsid w:val="00C66819"/>
    <w:rsid w:val="00C749F2"/>
    <w:rsid w:val="00C82708"/>
    <w:rsid w:val="00C9359B"/>
    <w:rsid w:val="00CA003A"/>
    <w:rsid w:val="00CB202A"/>
    <w:rsid w:val="00CB2498"/>
    <w:rsid w:val="00CC099C"/>
    <w:rsid w:val="00CC5401"/>
    <w:rsid w:val="00CD5858"/>
    <w:rsid w:val="00CE1BE3"/>
    <w:rsid w:val="00D05D8A"/>
    <w:rsid w:val="00D3630F"/>
    <w:rsid w:val="00D52561"/>
    <w:rsid w:val="00D72609"/>
    <w:rsid w:val="00D73F87"/>
    <w:rsid w:val="00D8054D"/>
    <w:rsid w:val="00D8422F"/>
    <w:rsid w:val="00DA785C"/>
    <w:rsid w:val="00DB2B88"/>
    <w:rsid w:val="00DC09B5"/>
    <w:rsid w:val="00DC7E76"/>
    <w:rsid w:val="00DE53ED"/>
    <w:rsid w:val="00DF6C02"/>
    <w:rsid w:val="00E10DAE"/>
    <w:rsid w:val="00E11EDB"/>
    <w:rsid w:val="00E12E4A"/>
    <w:rsid w:val="00E16738"/>
    <w:rsid w:val="00E30097"/>
    <w:rsid w:val="00E35D82"/>
    <w:rsid w:val="00E40A82"/>
    <w:rsid w:val="00E508C3"/>
    <w:rsid w:val="00E518C9"/>
    <w:rsid w:val="00E543E3"/>
    <w:rsid w:val="00E616B8"/>
    <w:rsid w:val="00E71BEA"/>
    <w:rsid w:val="00E72025"/>
    <w:rsid w:val="00E764B3"/>
    <w:rsid w:val="00E84C6A"/>
    <w:rsid w:val="00EA4EE8"/>
    <w:rsid w:val="00EA5021"/>
    <w:rsid w:val="00EA6A86"/>
    <w:rsid w:val="00EA7654"/>
    <w:rsid w:val="00ED0484"/>
    <w:rsid w:val="00ED1280"/>
    <w:rsid w:val="00EF52EC"/>
    <w:rsid w:val="00F13331"/>
    <w:rsid w:val="00F25D20"/>
    <w:rsid w:val="00F34BDD"/>
    <w:rsid w:val="00F417C5"/>
    <w:rsid w:val="00F92870"/>
    <w:rsid w:val="00FA28F7"/>
    <w:rsid w:val="00FD4294"/>
    <w:rsid w:val="00FD4B5A"/>
    <w:rsid w:val="00FD6E00"/>
    <w:rsid w:val="00FE273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84EC"/>
  <w15:docId w15:val="{4DF29D4C-CFF8-415C-84B7-4378360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0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0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6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26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2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C0B"/>
  </w:style>
  <w:style w:type="paragraph" w:styleId="Pidipagina">
    <w:name w:val="footer"/>
    <w:basedOn w:val="Normale"/>
    <w:link w:val="Pidipagina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C0B"/>
  </w:style>
  <w:style w:type="paragraph" w:customStyle="1" w:styleId="Default">
    <w:name w:val="Default"/>
    <w:rsid w:val="00320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9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928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C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6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649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649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lagriglia6acolori-colore51">
    <w:name w:val="Tabella griglia 6 a colori - colore 51"/>
    <w:basedOn w:val="Tabellanormale"/>
    <w:uiPriority w:val="51"/>
    <w:rsid w:val="00D8054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chiara-Colore5">
    <w:name w:val="Light Grid Accent 5"/>
    <w:basedOn w:val="Tabellanormale"/>
    <w:uiPriority w:val="62"/>
    <w:rsid w:val="00FD4294"/>
    <w:pPr>
      <w:spacing w:after="0" w:line="240" w:lineRule="auto"/>
    </w:pPr>
    <w:tblPr>
      <w:tblStyleRowBandSize w:val="1"/>
      <w:tblStyleColBandSize w:val="1"/>
      <w:tblBorders>
        <w:top w:val="single" w:sz="8" w:space="0" w:color="00B0F0"/>
        <w:left w:val="single" w:sz="8" w:space="0" w:color="00B0F0"/>
        <w:bottom w:val="single" w:sz="8" w:space="0" w:color="00B0F0"/>
        <w:right w:val="single" w:sz="8" w:space="0" w:color="00B0F0"/>
        <w:insideH w:val="single" w:sz="8" w:space="0" w:color="00B0F0"/>
        <w:insideV w:val="single" w:sz="8" w:space="0" w:color="00B0F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261A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61A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261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5858"/>
    <w:pPr>
      <w:pBdr>
        <w:bottom w:val="single" w:sz="8" w:space="4" w:color="ED7D31" w:themeColor="accent2"/>
      </w:pBdr>
      <w:spacing w:after="300"/>
      <w:contextualSpacing/>
    </w:pPr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D5858"/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table" w:styleId="Grigliachiara-Colore4">
    <w:name w:val="Light Grid Accent 4"/>
    <w:basedOn w:val="Tabellanormale"/>
    <w:uiPriority w:val="62"/>
    <w:rsid w:val="00F25D2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ormaleWeb">
    <w:name w:val="Normal (Web)"/>
    <w:basedOn w:val="Normale"/>
    <w:uiPriority w:val="99"/>
    <w:unhideWhenUsed/>
    <w:rsid w:val="0031747F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1747F"/>
    <w:rPr>
      <w:b/>
      <w:bCs/>
    </w:rPr>
  </w:style>
  <w:style w:type="table" w:customStyle="1" w:styleId="Tabellagriglia2-colore41">
    <w:name w:val="Tabella griglia 2 - colore 41"/>
    <w:basedOn w:val="Tabellanormale"/>
    <w:uiPriority w:val="47"/>
    <w:rsid w:val="00E84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44469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F02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02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0298"/>
    <w:rPr>
      <w:rFonts w:ascii="Times New Roman" w:eastAsia="Times New Roman" w:hAnsi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02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02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A74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27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rvizi.regione.piemonte.it/catalogo/bandi-por-fesr-finanziamenti-doman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regione.piemonte.it/web/temi/sviluppo/sistema-ricerca-innovazione/carta-nazionale-degli-aiuti-finalita-regionale-2022-2027-revisione-intermedia-2024-202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CC84-86DE-4C3C-A35A-BE0B454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Studi Open Srl</dc:creator>
  <cp:lastModifiedBy>Federica Bianco</cp:lastModifiedBy>
  <cp:revision>7</cp:revision>
  <cp:lastPrinted>2023-07-12T08:55:00Z</cp:lastPrinted>
  <dcterms:created xsi:type="dcterms:W3CDTF">2024-10-11T12:00:00Z</dcterms:created>
  <dcterms:modified xsi:type="dcterms:W3CDTF">2024-11-05T11:51:00Z</dcterms:modified>
</cp:coreProperties>
</file>